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70D90" w14:paraId="7482F2F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9B9B95" w14:textId="77777777" w:rsidR="00070D9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4AC63F1" w14:textId="77777777" w:rsidR="00070D90" w:rsidRDefault="00000000">
            <w:pPr>
              <w:spacing w:after="0" w:line="240" w:lineRule="auto"/>
            </w:pPr>
            <w:r>
              <w:t>27038</w:t>
            </w:r>
          </w:p>
        </w:tc>
      </w:tr>
      <w:tr w:rsidR="00070D90" w14:paraId="5C97FFC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AF9C1C" w14:textId="77777777" w:rsidR="00070D9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04C8CC" w14:textId="77777777" w:rsidR="00070D90" w:rsidRDefault="00000000">
            <w:pPr>
              <w:spacing w:after="0" w:line="240" w:lineRule="auto"/>
            </w:pPr>
            <w:r>
              <w:t>OPĆINA BRCKOVLJANI</w:t>
            </w:r>
          </w:p>
        </w:tc>
      </w:tr>
      <w:tr w:rsidR="00070D90" w14:paraId="52D430C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3CE5BD" w14:textId="77777777" w:rsidR="00070D9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1465915" w14:textId="77777777" w:rsidR="00070D9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1610ED3" w14:textId="77777777" w:rsidR="00070D90" w:rsidRDefault="00000000">
      <w:r>
        <w:br/>
      </w:r>
    </w:p>
    <w:p w14:paraId="73829322" w14:textId="77777777" w:rsidR="00070D9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353816D" w14:textId="77777777" w:rsidR="00070D9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5991906" w14:textId="77777777" w:rsidR="00070D9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D61E0B5" w14:textId="77777777" w:rsidR="00070D90" w:rsidRDefault="00070D90"/>
    <w:p w14:paraId="6EF65E50" w14:textId="77777777" w:rsidR="00070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C8D05BD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62C0ED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22C6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E584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DE5CD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5B7E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DB96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E174E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3BA87D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E12ED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8CC4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20394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036A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5.131.757,14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DA87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8.370.443,27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4CA7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  <w:tr w:rsidR="00070D90" w14:paraId="322D58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1756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2D740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8875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E082C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3.687.977,01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C76E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5.098.886,77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A132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  <w:tr w:rsidR="00070D90" w14:paraId="6024CB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A6366" w14:textId="77777777" w:rsidR="00070D90" w:rsidRDefault="00070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3F42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9790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579C8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1.443.780,13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DBEF4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3.271.556,50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3738D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226,6</w:t>
            </w:r>
          </w:p>
        </w:tc>
      </w:tr>
      <w:tr w:rsidR="00070D90" w14:paraId="62D0EE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EA1F6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85E5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71E5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301E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886.537,35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D247B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875.306,75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5E8C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  <w:tr w:rsidR="00070D90" w14:paraId="234541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84B2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72FB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D7910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A138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4.931.221,44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C3580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4.850.410,63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D5B53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  <w:tr w:rsidR="00070D90" w14:paraId="2ABD68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782D0" w14:textId="77777777" w:rsidR="00070D90" w:rsidRDefault="00070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23CD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5687C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64F7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4.044.684,09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349B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3.975.103,88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FE83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98,3</w:t>
            </w:r>
          </w:p>
        </w:tc>
      </w:tr>
      <w:tr w:rsidR="00070D90" w14:paraId="7297A1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0640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B3278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C0714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849E1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2.593.785,97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71EB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3.572.935,79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34F58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  <w:tr w:rsidR="00070D90" w14:paraId="38F48D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E7298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EFCD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5E8B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CB76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5A45D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1.126.176,18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F86D6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0D90" w14:paraId="553907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E8F3D" w14:textId="77777777" w:rsidR="00070D90" w:rsidRDefault="00070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F9C924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6237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BB80A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2.593.785,97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044BB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2.446.759,61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97F6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94,3</w:t>
            </w:r>
          </w:p>
        </w:tc>
      </w:tr>
      <w:tr w:rsidR="00070D90" w14:paraId="11F47A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C3F14" w14:textId="77777777" w:rsidR="00070D90" w:rsidRDefault="00070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C975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5C8F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C14C1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52C93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1.743.212,23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BABA4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B1834EF" w14:textId="77777777" w:rsidR="00070D90" w:rsidRDefault="00070D90">
      <w:pPr>
        <w:spacing w:after="0"/>
      </w:pPr>
    </w:p>
    <w:p w14:paraId="1AB39795" w14:textId="77777777" w:rsidR="00070D90" w:rsidRDefault="00000000">
      <w:r>
        <w:t xml:space="preserve">U izvještajnom razdoblju ostvaren je tekući višak prihoda poslovanja u iznosu od 3.271.556,50 </w:t>
      </w:r>
      <w:proofErr w:type="spellStart"/>
      <w:r>
        <w:t>eur</w:t>
      </w:r>
      <w:proofErr w:type="spellEnd"/>
      <w:r>
        <w:t xml:space="preserve"> jer su prihodi poslovanja ostvareni u većem obujmu nego rashodi poslovanja. Tekući višak dodaje se na preneseni višak prihoda poslovanja iz prethodnih godina u iznosu od 2.127.649,28 </w:t>
      </w:r>
      <w:proofErr w:type="spellStart"/>
      <w:r>
        <w:t>eur</w:t>
      </w:r>
      <w:proofErr w:type="spellEnd"/>
      <w:r>
        <w:t xml:space="preserve"> što daje ukupan višak prihoda poslovanja u iznosu od 5.399.205,78 </w:t>
      </w:r>
      <w:proofErr w:type="spellStart"/>
      <w:r>
        <w:t>eur</w:t>
      </w:r>
      <w:proofErr w:type="spellEnd"/>
      <w:r>
        <w:t>.</w:t>
      </w:r>
    </w:p>
    <w:p w14:paraId="76CAF230" w14:textId="77777777" w:rsidR="00070D90" w:rsidRDefault="00000000">
      <w:r>
        <w:lastRenderedPageBreak/>
        <w:t xml:space="preserve">Prihodi od nefinancijske imovine ostvareni su u manjem obujmu od rashoda za nefinancijsku imovinu te je utvrđen tekući manjak prihoda u iznosu od 3.975.103,88 </w:t>
      </w:r>
      <w:proofErr w:type="spellStart"/>
      <w:r>
        <w:t>eur</w:t>
      </w:r>
      <w:proofErr w:type="spellEnd"/>
      <w:r>
        <w:t xml:space="preserve">, a sa prenesenim manjkom prihoda prethodnih godina daje sveukupni manjak prihoda od nefinancijske imovine u iznosu od 6.248.335,77 </w:t>
      </w:r>
      <w:proofErr w:type="spellStart"/>
      <w:r>
        <w:t>eur</w:t>
      </w:r>
      <w:proofErr w:type="spellEnd"/>
      <w:r>
        <w:t>. </w:t>
      </w:r>
    </w:p>
    <w:p w14:paraId="62BA0B14" w14:textId="77777777" w:rsidR="00070D90" w:rsidRDefault="00000000">
      <w:r>
        <w:t xml:space="preserve">Višak prihoda od financijske imovine i zaduživanja odnosi se na sredstva dobivena po kreditnom zaduženju i to u iznosu od 3.572.935,79 </w:t>
      </w:r>
      <w:proofErr w:type="spellStart"/>
      <w:r>
        <w:t>eur</w:t>
      </w:r>
      <w:proofErr w:type="spellEnd"/>
      <w:r>
        <w:t xml:space="preserve"> umanjena za otplate u iznosu od 1.126.176,18 </w:t>
      </w:r>
      <w:proofErr w:type="spellStart"/>
      <w:r>
        <w:t>eur</w:t>
      </w:r>
      <w:proofErr w:type="spellEnd"/>
      <w:r>
        <w:t xml:space="preserve"> što daje tekući višak primitaka od financijske imovine u iznosu od 2.446.759,61 </w:t>
      </w:r>
      <w:proofErr w:type="spellStart"/>
      <w:r>
        <w:t>eur</w:t>
      </w:r>
      <w:proofErr w:type="spellEnd"/>
      <w:r>
        <w:t xml:space="preserve">, a sa prenesenim viškom prethodnih godina u iznosu od 2.593.785,97 daje sveukupan višak primitaka od  financijske imovine u iznosu od 5.040.545,58 </w:t>
      </w:r>
      <w:proofErr w:type="spellStart"/>
      <w:r>
        <w:t>eur</w:t>
      </w:r>
      <w:proofErr w:type="spellEnd"/>
      <w:r>
        <w:t>.</w:t>
      </w:r>
    </w:p>
    <w:p w14:paraId="1647F0FC" w14:textId="77777777" w:rsidR="00070D90" w:rsidRDefault="00000000">
      <w:r>
        <w:t xml:space="preserve">Višak prihoda poslovanja i višak prihoda od financijske imovine i zaduživanja umanjen za manjak prihoda od nefinancijske imovine daje sveukupan višak prihoda raspoloživ u budućem razdoblju u iznosu od 4.191.415,59 </w:t>
      </w:r>
      <w:proofErr w:type="spellStart"/>
      <w:r>
        <w:t>eur</w:t>
      </w:r>
      <w:proofErr w:type="spellEnd"/>
      <w:r>
        <w:t>.</w:t>
      </w:r>
    </w:p>
    <w:p w14:paraId="60F4AA8B" w14:textId="77777777" w:rsidR="00070D90" w:rsidRDefault="00000000">
      <w:r>
        <w:t> </w:t>
      </w:r>
    </w:p>
    <w:p w14:paraId="253F7CC6" w14:textId="77777777" w:rsidR="00070D90" w:rsidRDefault="00000000">
      <w:r>
        <w:t> </w:t>
      </w:r>
    </w:p>
    <w:p w14:paraId="0FA28F73" w14:textId="77777777" w:rsidR="00070D90" w:rsidRDefault="00000000">
      <w:r>
        <w:br/>
      </w:r>
    </w:p>
    <w:p w14:paraId="6A65E83F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383D5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B9EF0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D462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97F1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D7A4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90FB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BFCF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22B37F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5B720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6F4C7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49B2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072D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91.307,50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390BA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2.020.028,17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426DB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2212,3</w:t>
            </w:r>
          </w:p>
        </w:tc>
      </w:tr>
    </w:tbl>
    <w:p w14:paraId="5B420458" w14:textId="77777777" w:rsidR="00070D90" w:rsidRDefault="00070D90">
      <w:pPr>
        <w:spacing w:after="0"/>
      </w:pPr>
    </w:p>
    <w:p w14:paraId="0EAD9257" w14:textId="77777777" w:rsidR="00070D90" w:rsidRDefault="00000000">
      <w:r>
        <w:t xml:space="preserve">U toku godine dobivena su sredstva od Ministarstva turizma za umjetnu travu na nogometnom igralištu 158.310,00 </w:t>
      </w:r>
      <w:proofErr w:type="spellStart"/>
      <w:r>
        <w:t>eur</w:t>
      </w:r>
      <w:proofErr w:type="spellEnd"/>
      <w:r>
        <w:t xml:space="preserve">, od Ministarstva graditeljstva za nabavku traktora 17.000,00 </w:t>
      </w:r>
      <w:proofErr w:type="spellStart"/>
      <w:r>
        <w:t>eur</w:t>
      </w:r>
      <w:proofErr w:type="spellEnd"/>
      <w:r>
        <w:t xml:space="preserve">, od Ministarstva regionalnog razvoja za izgradnju tržnice 874.879,26 </w:t>
      </w:r>
      <w:proofErr w:type="spellStart"/>
      <w:r>
        <w:t>eur</w:t>
      </w:r>
      <w:proofErr w:type="spellEnd"/>
      <w:r>
        <w:t xml:space="preserve">, od Ministarstva obrazovanja za vrtić </w:t>
      </w:r>
      <w:proofErr w:type="spellStart"/>
      <w:r>
        <w:t>Božjakovina</w:t>
      </w:r>
      <w:proofErr w:type="spellEnd"/>
      <w:r>
        <w:t xml:space="preserve"> 887.736,41 </w:t>
      </w:r>
      <w:proofErr w:type="spellStart"/>
      <w:r>
        <w:t>eur</w:t>
      </w:r>
      <w:proofErr w:type="spellEnd"/>
      <w:r>
        <w:t xml:space="preserve">, od Ministarstva </w:t>
      </w:r>
      <w:proofErr w:type="spellStart"/>
      <w:r>
        <w:t>deografije</w:t>
      </w:r>
      <w:proofErr w:type="spellEnd"/>
      <w:r>
        <w:t xml:space="preserve"> za dječje igralište 82.102,50 </w:t>
      </w:r>
      <w:proofErr w:type="spellStart"/>
      <w:r>
        <w:t>eur</w:t>
      </w:r>
      <w:proofErr w:type="spellEnd"/>
      <w:r>
        <w:t>.</w:t>
      </w:r>
    </w:p>
    <w:p w14:paraId="33D3DC70" w14:textId="77777777" w:rsidR="00070D90" w:rsidRDefault="00070D90"/>
    <w:p w14:paraId="61BC7D71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533EF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5403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CD0CD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30E01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D2BC9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5756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5601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34F8CA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6B57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B8338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5ED0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254A0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786.595,38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52B01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1.482.379,84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FBDFF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14:paraId="477FB181" w14:textId="77777777" w:rsidR="00070D90" w:rsidRDefault="00070D90">
      <w:pPr>
        <w:spacing w:after="0"/>
      </w:pPr>
    </w:p>
    <w:p w14:paraId="08C98EBD" w14:textId="77777777" w:rsidR="00070D90" w:rsidRDefault="00000000">
      <w:r>
        <w:t xml:space="preserve">Ostvarena su sredstva za izgradnju dječjeg vrtića u iznosu 455.695,99 </w:t>
      </w:r>
      <w:proofErr w:type="spellStart"/>
      <w:r>
        <w:t>eur</w:t>
      </w:r>
      <w:proofErr w:type="spellEnd"/>
      <w:r>
        <w:t xml:space="preserve">-iz izvora 581, a iz izvora 565 ostvarena su sredstva za izgradnju tržnice u iznosu 996.153,85 </w:t>
      </w:r>
      <w:proofErr w:type="spellStart"/>
      <w:r>
        <w:t>eur</w:t>
      </w:r>
      <w:proofErr w:type="spellEnd"/>
      <w:r>
        <w:t xml:space="preserve">, od čega su 846.730,77 </w:t>
      </w:r>
      <w:proofErr w:type="spellStart"/>
      <w:r>
        <w:t>eur</w:t>
      </w:r>
      <w:proofErr w:type="spellEnd"/>
      <w:r>
        <w:t xml:space="preserve"> EU sredstva i 149.423,08 </w:t>
      </w:r>
      <w:proofErr w:type="spellStart"/>
      <w:r>
        <w:t>eur</w:t>
      </w:r>
      <w:proofErr w:type="spellEnd"/>
      <w:r>
        <w:t xml:space="preserve"> sredstva RH. Također, dobivena su sredstva preko LAG Prigorje za uređenje igrališta u iznosu od 30.530,00 </w:t>
      </w:r>
      <w:proofErr w:type="spellStart"/>
      <w:r>
        <w:t>eur</w:t>
      </w:r>
      <w:proofErr w:type="spellEnd"/>
      <w:r>
        <w:t xml:space="preserve"> od čega su 27.477,00 </w:t>
      </w:r>
      <w:proofErr w:type="spellStart"/>
      <w:r>
        <w:t>eur</w:t>
      </w:r>
      <w:proofErr w:type="spellEnd"/>
      <w:r>
        <w:t xml:space="preserve"> EU sredstva i 3.053,00 </w:t>
      </w:r>
      <w:proofErr w:type="spellStart"/>
      <w:r>
        <w:t>eur</w:t>
      </w:r>
      <w:proofErr w:type="spellEnd"/>
      <w:r>
        <w:t xml:space="preserve"> sredstva RH.</w:t>
      </w:r>
    </w:p>
    <w:p w14:paraId="37759937" w14:textId="77777777" w:rsidR="00070D90" w:rsidRDefault="00070D90"/>
    <w:p w14:paraId="3583A16E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59C37C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4D99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D6861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A0CE2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D040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171A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17146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3722AE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5333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AFEF5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3AA09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EFB7A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338.547,01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2677C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754.286,99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8FD1B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222,8</w:t>
            </w:r>
          </w:p>
        </w:tc>
      </w:tr>
    </w:tbl>
    <w:p w14:paraId="48879FB7" w14:textId="77777777" w:rsidR="00070D90" w:rsidRDefault="00070D90">
      <w:pPr>
        <w:spacing w:after="0"/>
      </w:pPr>
    </w:p>
    <w:p w14:paraId="16071456" w14:textId="77777777" w:rsidR="00070D90" w:rsidRDefault="00000000">
      <w:r>
        <w:t xml:space="preserve">tu je evidentirano uređenje vatrogasnih i društvenih domova 136.122,55 </w:t>
      </w:r>
      <w:proofErr w:type="spellStart"/>
      <w:r>
        <w:t>eur</w:t>
      </w:r>
      <w:proofErr w:type="spellEnd"/>
      <w:r>
        <w:t xml:space="preserve">, usluge tekućeg i investicijskog održavanja postrojenja i opreme 21.986,61 </w:t>
      </w:r>
      <w:proofErr w:type="spellStart"/>
      <w:r>
        <w:t>eur</w:t>
      </w:r>
      <w:proofErr w:type="spellEnd"/>
      <w:r>
        <w:t xml:space="preserve">, održavanje nerazvrstanih cesta i putnih jaraka 374.402,62 </w:t>
      </w:r>
      <w:proofErr w:type="spellStart"/>
      <w:r>
        <w:t>eur</w:t>
      </w:r>
      <w:proofErr w:type="spellEnd"/>
      <w:r>
        <w:t xml:space="preserve">, sanacija klizišta 126.868,94 </w:t>
      </w:r>
      <w:proofErr w:type="spellStart"/>
      <w:r>
        <w:t>eur</w:t>
      </w:r>
      <w:proofErr w:type="spellEnd"/>
      <w:r>
        <w:t xml:space="preserve"> te </w:t>
      </w:r>
      <w:proofErr w:type="spellStart"/>
      <w:r>
        <w:t>postavak</w:t>
      </w:r>
      <w:proofErr w:type="spellEnd"/>
      <w:r>
        <w:t xml:space="preserve"> prometnih znakova i autobusnih kućica 94.906,27 </w:t>
      </w:r>
      <w:proofErr w:type="spellStart"/>
      <w:r>
        <w:t>eur</w:t>
      </w:r>
      <w:proofErr w:type="spellEnd"/>
      <w:r>
        <w:t>.</w:t>
      </w:r>
    </w:p>
    <w:p w14:paraId="28A3ED74" w14:textId="77777777" w:rsidR="00070D90" w:rsidRDefault="00070D90"/>
    <w:p w14:paraId="33D9362F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5A52FB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08802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E93E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C392B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9E7F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48AD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EC546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2DB6CC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B0F5F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993D7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9814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0BF3C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110.253,96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516BF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359.828,74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66ED6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326,4</w:t>
            </w:r>
          </w:p>
        </w:tc>
      </w:tr>
    </w:tbl>
    <w:p w14:paraId="58C5A7A8" w14:textId="77777777" w:rsidR="00070D90" w:rsidRDefault="00070D90">
      <w:pPr>
        <w:spacing w:after="0"/>
      </w:pPr>
    </w:p>
    <w:p w14:paraId="31BDC906" w14:textId="77777777" w:rsidR="00070D90" w:rsidRDefault="00000000">
      <w:r>
        <w:t>Do povećanja je došlo zbog otvaranja područnog objekta dječjeg vrtića.</w:t>
      </w:r>
    </w:p>
    <w:p w14:paraId="58D5C1B8" w14:textId="77777777" w:rsidR="00070D90" w:rsidRDefault="00070D90"/>
    <w:p w14:paraId="1B75A82E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147D65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1BB9D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733C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A268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586C0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F4EF0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4293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2C9FFF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A5B3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98C9F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4621D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4CEC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4.858.716,53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D4C6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4.517.972,69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920E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14:paraId="112188AA" w14:textId="77777777" w:rsidR="00070D90" w:rsidRDefault="00070D90">
      <w:pPr>
        <w:spacing w:after="0"/>
      </w:pPr>
    </w:p>
    <w:p w14:paraId="4E84A74A" w14:textId="77777777" w:rsidR="00070D90" w:rsidRDefault="00000000">
      <w:r>
        <w:t xml:space="preserve">U okviru odjeljka evidentirana je izgradnja dječjeg vrtića </w:t>
      </w:r>
      <w:proofErr w:type="spellStart"/>
      <w:r>
        <w:t>Božjakovina</w:t>
      </w:r>
      <w:proofErr w:type="spellEnd"/>
      <w:r>
        <w:t xml:space="preserve"> u iznosu od 2.195.327,90 </w:t>
      </w:r>
      <w:proofErr w:type="spellStart"/>
      <w:r>
        <w:t>eur</w:t>
      </w:r>
      <w:proofErr w:type="spellEnd"/>
      <w:r>
        <w:t xml:space="preserve">, DV Lupoglav u iznosu 1.781.333,46 </w:t>
      </w:r>
      <w:proofErr w:type="spellStart"/>
      <w:r>
        <w:t>eur</w:t>
      </w:r>
      <w:proofErr w:type="spellEnd"/>
      <w:r>
        <w:t xml:space="preserve">, izgradnja tržnice Brckovljani u iznosu od 495.125,75 </w:t>
      </w:r>
      <w:proofErr w:type="spellStart"/>
      <w:r>
        <w:t>eur</w:t>
      </w:r>
      <w:proofErr w:type="spellEnd"/>
      <w:r>
        <w:t xml:space="preserve">, ostatak se odnosi na projektnu dokumentaciju budućih objekata (biciklističke i pješačke staze, etno selo Lupoglav i park </w:t>
      </w:r>
      <w:proofErr w:type="spellStart"/>
      <w:r>
        <w:t>Božakovina</w:t>
      </w:r>
      <w:proofErr w:type="spellEnd"/>
      <w:r>
        <w:t>).</w:t>
      </w:r>
    </w:p>
    <w:p w14:paraId="5212B14D" w14:textId="77777777" w:rsidR="00070D90" w:rsidRDefault="00070D90"/>
    <w:p w14:paraId="3228B4A2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31F651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686A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8089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F2A01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B405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FB9C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7946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46251D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33EED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1E67B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3FB77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2C49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2.593.785,97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CD62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3.572.935,79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1902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14:paraId="18D6CFF0" w14:textId="77777777" w:rsidR="00070D90" w:rsidRDefault="00070D90">
      <w:pPr>
        <w:spacing w:after="0"/>
      </w:pPr>
    </w:p>
    <w:p w14:paraId="03F3E77C" w14:textId="77777777" w:rsidR="00070D90" w:rsidRDefault="00000000">
      <w:r>
        <w:lastRenderedPageBreak/>
        <w:t xml:space="preserve">Evidentiran je ostatak isplate po kreditu za izgradnju tržnice u iznosu od 517.508,79 </w:t>
      </w:r>
      <w:proofErr w:type="spellStart"/>
      <w:r>
        <w:t>eur</w:t>
      </w:r>
      <w:proofErr w:type="spellEnd"/>
      <w:r>
        <w:t xml:space="preserve">, a 3.055.427,00 </w:t>
      </w:r>
      <w:proofErr w:type="spellStart"/>
      <w:r>
        <w:t>eur</w:t>
      </w:r>
      <w:proofErr w:type="spellEnd"/>
      <w:r>
        <w:t xml:space="preserve"> odnosi se na sredstva isplaćena po kreditu za izgradnju DV </w:t>
      </w:r>
      <w:proofErr w:type="spellStart"/>
      <w:r>
        <w:t>Božjakovina</w:t>
      </w:r>
      <w:proofErr w:type="spellEnd"/>
      <w:r>
        <w:t>.</w:t>
      </w:r>
    </w:p>
    <w:p w14:paraId="3F04237D" w14:textId="77777777" w:rsidR="00070D90" w:rsidRDefault="00070D90"/>
    <w:p w14:paraId="1CD24908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611622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86A7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9E1D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94021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E221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E4F4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433DB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4CB2A3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81F5F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8377C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55DD3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D2FF6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5AEB4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1.126.176,18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C3464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3E7C16" w14:textId="77777777" w:rsidR="00070D90" w:rsidRDefault="00070D90">
      <w:pPr>
        <w:spacing w:after="0"/>
      </w:pPr>
    </w:p>
    <w:p w14:paraId="042B6071" w14:textId="77777777" w:rsidR="00070D90" w:rsidRDefault="00000000">
      <w:r>
        <w:t xml:space="preserve">Evidentirana je otplata zajma za izgradnju tržnice u iznosu od 1.126.176,18 </w:t>
      </w:r>
      <w:proofErr w:type="spellStart"/>
      <w:r>
        <w:t>eur</w:t>
      </w:r>
      <w:proofErr w:type="spellEnd"/>
      <w:r>
        <w:t xml:space="preserve">, uključujući i prijenos sredstava dobivenih od EU u iznosu od 996.153,85 </w:t>
      </w:r>
      <w:proofErr w:type="spellStart"/>
      <w:r>
        <w:t>eur</w:t>
      </w:r>
      <w:proofErr w:type="spellEnd"/>
      <w:r>
        <w:t>.</w:t>
      </w:r>
    </w:p>
    <w:p w14:paraId="0F1F79B0" w14:textId="77777777" w:rsidR="00070D90" w:rsidRDefault="00070D90"/>
    <w:p w14:paraId="458C15FA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61AD73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3E4C6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C4850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EEA5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2190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6E53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3D68E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0FDAD6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DF87F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F2F27B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D4A6D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D0718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2.448.940,04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6193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4.190.733,47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1D8E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171,1</w:t>
            </w:r>
          </w:p>
        </w:tc>
      </w:tr>
    </w:tbl>
    <w:p w14:paraId="596F8236" w14:textId="77777777" w:rsidR="00070D90" w:rsidRDefault="00070D90">
      <w:pPr>
        <w:spacing w:after="0"/>
      </w:pPr>
    </w:p>
    <w:p w14:paraId="25E3489B" w14:textId="77777777" w:rsidR="00070D90" w:rsidRDefault="00000000">
      <w:r>
        <w:t xml:space="preserve">Stanje žiro računa 31.12.2025. iznosilo je 4.189.321,60 </w:t>
      </w:r>
      <w:proofErr w:type="spellStart"/>
      <w:r>
        <w:t>eur</w:t>
      </w:r>
      <w:proofErr w:type="spellEnd"/>
      <w:r>
        <w:t xml:space="preserve">, blagajne 204,41 </w:t>
      </w:r>
      <w:proofErr w:type="spellStart"/>
      <w:r>
        <w:t>eur</w:t>
      </w:r>
      <w:proofErr w:type="spellEnd"/>
      <w:r>
        <w:t xml:space="preserve">, a na prijelaznom računu izdvojena su sredstva po ovrsi na koju je uložena žalba te su sredstva vraćena početkom 2026. god u iznosu od 1207,46 </w:t>
      </w:r>
      <w:proofErr w:type="spellStart"/>
      <w:r>
        <w:t>eur</w:t>
      </w:r>
      <w:proofErr w:type="spellEnd"/>
      <w:r>
        <w:t>.</w:t>
      </w:r>
    </w:p>
    <w:p w14:paraId="1B6526DF" w14:textId="77777777" w:rsidR="00070D90" w:rsidRDefault="00070D90"/>
    <w:p w14:paraId="1290F435" w14:textId="77777777" w:rsidR="00070D90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DF55BC3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A8E6C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E1EC2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EC6EE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252C1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D9C1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A005D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CB9BE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320318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A4AA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FC0B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1F018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4B5F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59846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FA393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460,7</w:t>
            </w:r>
          </w:p>
        </w:tc>
      </w:tr>
    </w:tbl>
    <w:p w14:paraId="3BD7136B" w14:textId="77777777" w:rsidR="00070D90" w:rsidRDefault="00070D90">
      <w:pPr>
        <w:spacing w:after="0"/>
      </w:pPr>
    </w:p>
    <w:p w14:paraId="4510D6E6" w14:textId="77777777" w:rsidR="00070D90" w:rsidRDefault="00000000">
      <w:r>
        <w:t xml:space="preserve">U okviru stavke evidentiranja su potraživanja od HZZO za refundacije </w:t>
      </w:r>
      <w:proofErr w:type="spellStart"/>
      <w:r>
        <w:t>bolavanja</w:t>
      </w:r>
      <w:proofErr w:type="spellEnd"/>
      <w:r>
        <w:t xml:space="preserve"> i od Ministarstva socijalne skrbi za troškove stanovanja- </w:t>
      </w:r>
      <w:proofErr w:type="spellStart"/>
      <w:r>
        <w:t>ogrijev</w:t>
      </w:r>
      <w:proofErr w:type="spellEnd"/>
      <w:r>
        <w:t>. </w:t>
      </w:r>
    </w:p>
    <w:p w14:paraId="32110607" w14:textId="77777777" w:rsidR="00070D90" w:rsidRDefault="00070D90"/>
    <w:p w14:paraId="52211787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61C25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07FD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54739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A5A0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CB65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C858B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C0016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4924E0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48F7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0F55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FEE87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EAF0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99.672,11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DC36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74.311,37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E767F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</w:t>
            </w:r>
          </w:p>
        </w:tc>
      </w:tr>
    </w:tbl>
    <w:p w14:paraId="26D0B2D9" w14:textId="77777777" w:rsidR="00070D90" w:rsidRDefault="00070D90">
      <w:pPr>
        <w:spacing w:after="0"/>
      </w:pPr>
    </w:p>
    <w:p w14:paraId="2F6A0646" w14:textId="77777777" w:rsidR="00070D90" w:rsidRDefault="00000000">
      <w:r>
        <w:t xml:space="preserve">Najveći dio odnosi se na porez na promet nekretnina u iznosu od 59.591,62 </w:t>
      </w:r>
      <w:proofErr w:type="spellStart"/>
      <w:r>
        <w:t>eur</w:t>
      </w:r>
      <w:proofErr w:type="spellEnd"/>
      <w:r>
        <w:t>.</w:t>
      </w:r>
    </w:p>
    <w:p w14:paraId="117F844C" w14:textId="77777777" w:rsidR="00070D90" w:rsidRDefault="00070D90"/>
    <w:p w14:paraId="64031B6B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7AF5218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FC07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7AB50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3EF3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D9C1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A59F9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A9F12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74E423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3DD10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46F06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42C91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EAC63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8399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20.215,41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637B6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232,6</w:t>
            </w:r>
          </w:p>
        </w:tc>
      </w:tr>
    </w:tbl>
    <w:p w14:paraId="6F32ABEE" w14:textId="77777777" w:rsidR="00070D90" w:rsidRDefault="00070D90">
      <w:pPr>
        <w:spacing w:after="0"/>
      </w:pPr>
    </w:p>
    <w:p w14:paraId="05FABFC7" w14:textId="7AE4C34F" w:rsidR="00070D90" w:rsidRDefault="009A678E">
      <w:r>
        <w:t>Najveći</w:t>
      </w:r>
      <w:r w:rsidR="00000000">
        <w:t xml:space="preserve"> dio odnosi se na potraživanja za najam (17.106,26 </w:t>
      </w:r>
      <w:proofErr w:type="spellStart"/>
      <w:r w:rsidR="00000000">
        <w:t>eur</w:t>
      </w:r>
      <w:proofErr w:type="spellEnd"/>
      <w:r w:rsidR="00000000">
        <w:t>).</w:t>
      </w:r>
    </w:p>
    <w:p w14:paraId="7F9BE192" w14:textId="77777777" w:rsidR="00070D90" w:rsidRDefault="00070D90"/>
    <w:p w14:paraId="1A29ABA8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599B04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B0B32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95BB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0AAE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8A8D9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25344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127A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319107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E787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F708C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DA179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8671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258.712,66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89A4E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289.901,89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462D9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23E2762A" w14:textId="77777777" w:rsidR="00070D90" w:rsidRDefault="00070D90">
      <w:pPr>
        <w:spacing w:after="0"/>
      </w:pPr>
    </w:p>
    <w:p w14:paraId="41DBEBF2" w14:textId="77777777" w:rsidR="00070D90" w:rsidRDefault="00000000">
      <w:r>
        <w:t xml:space="preserve">Najveća potraživanja odnose se na potraživanja za komunalnu </w:t>
      </w:r>
      <w:proofErr w:type="spellStart"/>
      <w:r>
        <w:t>nakanadu</w:t>
      </w:r>
      <w:proofErr w:type="spellEnd"/>
      <w:r>
        <w:t xml:space="preserve"> 195.240,53 </w:t>
      </w:r>
      <w:proofErr w:type="spellStart"/>
      <w:r>
        <w:t>eur</w:t>
      </w:r>
      <w:proofErr w:type="spellEnd"/>
      <w:r>
        <w:t xml:space="preserve">, grobnu naknadu 33.551,19 </w:t>
      </w:r>
      <w:proofErr w:type="spellStart"/>
      <w:r>
        <w:t>eur</w:t>
      </w:r>
      <w:proofErr w:type="spellEnd"/>
      <w:r>
        <w:t xml:space="preserve"> te komunalni doprinos 50.035,90 </w:t>
      </w:r>
      <w:proofErr w:type="spellStart"/>
      <w:r>
        <w:t>eur</w:t>
      </w:r>
      <w:proofErr w:type="spellEnd"/>
      <w:r>
        <w:t>.</w:t>
      </w:r>
    </w:p>
    <w:p w14:paraId="2CF76FB8" w14:textId="77777777" w:rsidR="00070D90" w:rsidRDefault="00070D90"/>
    <w:p w14:paraId="2B85A04A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35E7E0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3046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DF017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06D0E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4B5F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56C38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56F9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07971C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EDC32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229EE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F590A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7BCB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154.648,60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F5122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32.408,42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855FA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</w:t>
            </w:r>
          </w:p>
        </w:tc>
      </w:tr>
    </w:tbl>
    <w:p w14:paraId="4B2896CB" w14:textId="77777777" w:rsidR="00070D90" w:rsidRDefault="00070D90">
      <w:pPr>
        <w:spacing w:after="0"/>
      </w:pPr>
    </w:p>
    <w:p w14:paraId="6F2DD69D" w14:textId="77777777" w:rsidR="00070D90" w:rsidRDefault="00000000">
      <w:r>
        <w:t>Cjelokupni iznos odnosi se na potraživanja za prodaju zemlje u vlasništvu općine. </w:t>
      </w:r>
    </w:p>
    <w:p w14:paraId="4C8F4251" w14:textId="77777777" w:rsidR="00070D90" w:rsidRDefault="00070D90"/>
    <w:p w14:paraId="2EEFEBE1" w14:textId="77777777" w:rsidR="00070D90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4538D108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0D90" w14:paraId="039F08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805E3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6911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9A91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A152D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B568F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4856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7ACEDB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DA907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A1789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599C5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8DA7B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4.713.225,23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27834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909.295,73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A1C5C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19,3</w:t>
            </w:r>
          </w:p>
        </w:tc>
      </w:tr>
    </w:tbl>
    <w:p w14:paraId="6CC699EE" w14:textId="77777777" w:rsidR="00070D90" w:rsidRDefault="00070D90">
      <w:pPr>
        <w:spacing w:after="0"/>
      </w:pPr>
    </w:p>
    <w:p w14:paraId="1A0C2BBC" w14:textId="77777777" w:rsidR="00070D90" w:rsidRDefault="00000000">
      <w:r>
        <w:t xml:space="preserve">Povećanja se odnose na kupnju zemljišta za proširenje groblja - 54.510,00 </w:t>
      </w:r>
      <w:proofErr w:type="spellStart"/>
      <w:r>
        <w:t>eur</w:t>
      </w:r>
      <w:proofErr w:type="spellEnd"/>
      <w:r>
        <w:t xml:space="preserve">, projekte za park </w:t>
      </w:r>
      <w:proofErr w:type="spellStart"/>
      <w:r>
        <w:t>Božjakovina</w:t>
      </w:r>
      <w:proofErr w:type="spellEnd"/>
      <w:r>
        <w:t xml:space="preserve"> - 38.375,00 </w:t>
      </w:r>
      <w:proofErr w:type="spellStart"/>
      <w:r>
        <w:t>eur</w:t>
      </w:r>
      <w:proofErr w:type="spellEnd"/>
      <w:r>
        <w:t xml:space="preserve">, projekte ambulante - 6.332,21 </w:t>
      </w:r>
      <w:proofErr w:type="spellStart"/>
      <w:r>
        <w:t>eur</w:t>
      </w:r>
      <w:proofErr w:type="spellEnd"/>
      <w:r>
        <w:t xml:space="preserve">, DV </w:t>
      </w:r>
      <w:proofErr w:type="spellStart"/>
      <w:r>
        <w:t>Božjakovina</w:t>
      </w:r>
      <w:proofErr w:type="spellEnd"/>
      <w:r>
        <w:t xml:space="preserve"> - 2.195.327,90 </w:t>
      </w:r>
      <w:proofErr w:type="spellStart"/>
      <w:r>
        <w:t>eur</w:t>
      </w:r>
      <w:proofErr w:type="spellEnd"/>
      <w:r>
        <w:t xml:space="preserve">, DV Lupoglav - 1.781.333,46, etno selo Lupoglav 2.060,58 </w:t>
      </w:r>
      <w:proofErr w:type="spellStart"/>
      <w:r>
        <w:t>eur</w:t>
      </w:r>
      <w:proofErr w:type="spellEnd"/>
      <w:r>
        <w:t xml:space="preserve">, tržnica Brckovljani 442.478,74 </w:t>
      </w:r>
      <w:proofErr w:type="spellStart"/>
      <w:r>
        <w:t>eur</w:t>
      </w:r>
      <w:proofErr w:type="spellEnd"/>
      <w:r>
        <w:t xml:space="preserve">, igralište kod crkve 67.050,31 </w:t>
      </w:r>
      <w:proofErr w:type="spellStart"/>
      <w:r>
        <w:t>eur</w:t>
      </w:r>
      <w:proofErr w:type="spellEnd"/>
      <w:r>
        <w:t xml:space="preserve">, stambeno naselje G. </w:t>
      </w:r>
      <w:proofErr w:type="spellStart"/>
      <w:r>
        <w:t>Dvorišće</w:t>
      </w:r>
      <w:proofErr w:type="spellEnd"/>
      <w:r>
        <w:t xml:space="preserve"> 21.600,00 </w:t>
      </w:r>
      <w:proofErr w:type="spellStart"/>
      <w:r>
        <w:t>eur</w:t>
      </w:r>
      <w:proofErr w:type="spellEnd"/>
      <w:r>
        <w:t xml:space="preserve">, nabavka kompjutera 3.457,61 </w:t>
      </w:r>
      <w:proofErr w:type="spellStart"/>
      <w:r>
        <w:t>eur</w:t>
      </w:r>
      <w:proofErr w:type="spellEnd"/>
      <w:r>
        <w:t xml:space="preserve">, nabavka automobila 23.590,41 </w:t>
      </w:r>
      <w:proofErr w:type="spellStart"/>
      <w:r>
        <w:t>eur</w:t>
      </w:r>
      <w:proofErr w:type="spellEnd"/>
      <w:r>
        <w:t xml:space="preserve">, ostala zemljišta po procjeni 24.462,00. Smanjenje obujma imovine odnosi se na prodaju zemlje u </w:t>
      </w:r>
      <w:proofErr w:type="spellStart"/>
      <w:r>
        <w:t>stambeom</w:t>
      </w:r>
      <w:proofErr w:type="spellEnd"/>
      <w:r>
        <w:t xml:space="preserve"> naselju G. </w:t>
      </w:r>
      <w:proofErr w:type="spellStart"/>
      <w:r>
        <w:t>Dvorišće</w:t>
      </w:r>
      <w:proofErr w:type="spellEnd"/>
      <w:r>
        <w:t xml:space="preserve"> - 77.110,91 </w:t>
      </w:r>
      <w:proofErr w:type="spellStart"/>
      <w:r>
        <w:t>eur</w:t>
      </w:r>
      <w:proofErr w:type="spellEnd"/>
      <w:r>
        <w:t xml:space="preserve">, prodaju zemlje u gospodarskoj zoni - 812.847,82 </w:t>
      </w:r>
      <w:proofErr w:type="spellStart"/>
      <w:r>
        <w:t>eur</w:t>
      </w:r>
      <w:proofErr w:type="spellEnd"/>
      <w:r>
        <w:t xml:space="preserve"> te prodaju ostalih zemljišta -19.337,00 </w:t>
      </w:r>
      <w:proofErr w:type="spellStart"/>
      <w:r>
        <w:t>eur</w:t>
      </w:r>
      <w:proofErr w:type="spellEnd"/>
      <w:r>
        <w:t>.</w:t>
      </w:r>
    </w:p>
    <w:p w14:paraId="5FF690E7" w14:textId="77777777" w:rsidR="00070D90" w:rsidRDefault="00070D90"/>
    <w:p w14:paraId="1121E44F" w14:textId="77777777" w:rsidR="00070D9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C405DE0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70D90" w14:paraId="57AECA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E368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F0FA5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7F9AC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1EEF6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9250A" w14:textId="77777777" w:rsidR="00070D9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0D90" w14:paraId="7AC79D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91667" w14:textId="77777777" w:rsidR="00070D90" w:rsidRDefault="00070D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D5F89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6D6C0" w14:textId="77777777" w:rsidR="00070D9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93E45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6B197" w14:textId="77777777" w:rsidR="00070D9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E412CB" w14:textId="77777777" w:rsidR="00070D90" w:rsidRDefault="00070D90">
      <w:pPr>
        <w:spacing w:after="0"/>
      </w:pPr>
    </w:p>
    <w:p w14:paraId="06B1CFE3" w14:textId="77777777" w:rsidR="00070D90" w:rsidRDefault="00000000">
      <w:r>
        <w:t xml:space="preserve">Taj iznos odnosi se na jedan neplaćeni zahtjev za dodjelu pomoći </w:t>
      </w:r>
      <w:proofErr w:type="spellStart"/>
      <w:r>
        <w:t>podučnom</w:t>
      </w:r>
      <w:proofErr w:type="spellEnd"/>
      <w:r>
        <w:t xml:space="preserve"> objektu vrtića matičnog </w:t>
      </w:r>
      <w:proofErr w:type="spellStart"/>
      <w:r>
        <w:t>objetka</w:t>
      </w:r>
      <w:proofErr w:type="spellEnd"/>
      <w:r>
        <w:t xml:space="preserve"> Rugvica.</w:t>
      </w:r>
    </w:p>
    <w:p w14:paraId="6E80FEA5" w14:textId="77777777" w:rsidR="00070D90" w:rsidRDefault="00070D90"/>
    <w:p w14:paraId="65B5EF35" w14:textId="77777777" w:rsidR="00070D9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p w14:paraId="0FA6BA6B" w14:textId="77777777" w:rsidR="00070D90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A4A5F82" w14:textId="77777777" w:rsidR="00070D90" w:rsidRDefault="00000000">
      <w:r>
        <w:t xml:space="preserve">Ostvarena su sredstva za izgradnju dječjeg vrtića u iznosu 455.695,99 </w:t>
      </w:r>
      <w:proofErr w:type="spellStart"/>
      <w:r>
        <w:t>eur</w:t>
      </w:r>
      <w:proofErr w:type="spellEnd"/>
      <w:r>
        <w:t>-iz izvora 581 (cjelokupan iznos su sredstva EU).</w:t>
      </w:r>
    </w:p>
    <w:p w14:paraId="623EC063" w14:textId="77777777" w:rsidR="00070D90" w:rsidRDefault="00000000">
      <w:r>
        <w:t xml:space="preserve">Iz izvora 565 ostvarena su sredstva za izgradnju tržnice u iznosu 996.153,85 </w:t>
      </w:r>
      <w:proofErr w:type="spellStart"/>
      <w:r>
        <w:t>eur</w:t>
      </w:r>
      <w:proofErr w:type="spellEnd"/>
      <w:r>
        <w:t xml:space="preserve">, od čega su 846.730,77 </w:t>
      </w:r>
      <w:proofErr w:type="spellStart"/>
      <w:r>
        <w:t>eur</w:t>
      </w:r>
      <w:proofErr w:type="spellEnd"/>
      <w:r>
        <w:t xml:space="preserve"> EU sredstva i 149.423,08 </w:t>
      </w:r>
      <w:proofErr w:type="spellStart"/>
      <w:r>
        <w:t>eur</w:t>
      </w:r>
      <w:proofErr w:type="spellEnd"/>
      <w:r>
        <w:t xml:space="preserve"> sredstva RH. Također, dobivena su sredstva preko LAG Prigorje za uređenje igrališta u iznosu od 30.530,00 </w:t>
      </w:r>
      <w:proofErr w:type="spellStart"/>
      <w:r>
        <w:t>eur</w:t>
      </w:r>
      <w:proofErr w:type="spellEnd"/>
      <w:r>
        <w:t xml:space="preserve"> od čega su 27.477,00 </w:t>
      </w:r>
      <w:proofErr w:type="spellStart"/>
      <w:r>
        <w:t>eur</w:t>
      </w:r>
      <w:proofErr w:type="spellEnd"/>
      <w:r>
        <w:t xml:space="preserve"> EU sredstva i 3.053,00 </w:t>
      </w:r>
      <w:proofErr w:type="spellStart"/>
      <w:r>
        <w:t>eur</w:t>
      </w:r>
      <w:proofErr w:type="spellEnd"/>
      <w:r>
        <w:t xml:space="preserve"> sredstva RH.</w:t>
      </w:r>
    </w:p>
    <w:p w14:paraId="1C677EB8" w14:textId="77777777" w:rsidR="00070D90" w:rsidRDefault="00070D90"/>
    <w:sectPr w:rsidR="0007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90"/>
    <w:rsid w:val="00070D90"/>
    <w:rsid w:val="000A0814"/>
    <w:rsid w:val="00507687"/>
    <w:rsid w:val="00953921"/>
    <w:rsid w:val="009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E24F"/>
  <w15:docId w15:val="{9160EF74-D8B5-4D7E-BB0A-82F1D0D6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Općina Brckovljani</cp:lastModifiedBy>
  <cp:revision>3</cp:revision>
  <dcterms:created xsi:type="dcterms:W3CDTF">2026-02-13T13:02:00Z</dcterms:created>
  <dcterms:modified xsi:type="dcterms:W3CDTF">2026-02-17T10:10:00Z</dcterms:modified>
</cp:coreProperties>
</file>